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Blue Sky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Burlington, MA 01803</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29, 2026, 51,029,770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4"/>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8"/>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r>
              <w:rPr>
                <w:rFonts w:ascii="Times New Roman" w:cs="Times New Roman" w:eastAsia="Times New Roman" w:hAnsi="Times New Roman"/>
                <w:sz w:val="18"/>
                <w:szCs w:val="18"/>
                <w:color w:val="000000"/>
              </w:rPr>
              <w:t>)</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20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3"/>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1"/>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1"/>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100,092</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37,407</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$23 and $13, respectively)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84,634</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247,437</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108,397</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64,774</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61,395</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487,969</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49,149</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133,329</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4"/>
        </w:trPr>
        <w:tc>
          <w:tcPr>
            <w:tcW w:w="8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51,044 and 50,620,</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730,662</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(376,297)</w:t>
            </w:r>
          </w:p>
        </w:tc>
      </w:tr>
      <w:tr>
        <w:trPr>
          <w:trHeight w:val="223"/>
        </w:trPr>
        <w:tc>
          <w:tcPr>
            <w:tcW w:w="8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354,640</w:t>
            </w:r>
          </w:p>
        </w:tc>
      </w:tr>
      <w:tr>
        <w:trPr>
          <w:trHeight w:val="248"/>
        </w:trPr>
        <w:tc>
          <w:tcPr>
            <w:tcW w:w="8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487,969</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168,278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141,240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143,842</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52,962</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51,908</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52,459</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50,256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30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r>
      <w:tr>
        <w:trPr>
          <w:trHeight w:val="230"/>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0"/>
        </w:trPr>
        <w:tc>
          <w:tcPr>
            <w:tcW w:w="3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(376,297)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354,640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738,998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(382,599)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356,231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750,799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(380,393)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370,041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 and retired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2026</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751,459</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(366,232)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384,172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26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295,487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306,809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321,858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82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(43,518)</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34"/>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repurchased but not yet settled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and medical technology company and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and Drug Administration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topically-administered biological orphan product containing proteolytic enzymes, which is indicated for the removal of eschar in adult and pediatric patients with deep partial-thickness and/or full-thickness thermal burns.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September 30, 2026, the Company had an accumulated deficit of $366.2 million and had a net income of $10.1 million during the nine months ended September 30, 2026. The Company had cash and cash equivalents of $133.5 million and investments of $102.1 million as of September 30, 2026.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 through at least 12 months from the issuance of these condensed consolidated financial statements.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which form the basis for making judgments about the carrying values of assets, liabilities and equity and the amount of revenue and expenses.</w:t>
      </w:r>
    </w:p>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has been derived from the audited consolidated financial statements at that date, but does not include all the information and notes required by U.S. GAAP for complete financial statements. These condensed consolidated financial statements should be read in conjunction with the audited consolidated financial statements and the notes thereto included in the Company’s Annual Report on Form 10-K for the year ended December 31, 2025, as filed with the SEC on February 26, 2026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The Company has elected to early adopt the treasury stock retirement guidance (Issue 10) in ASU 2025-12. Under this amendment, the Company has established an accounting policy to record the full repurchase price of shares repurchased and retired as a reduction to common stock, as the Company’s common stock has no par value. The adoption of this update did not have a material impact on total shareholders’ equity.</w:t>
      </w:r>
    </w:p>
    <w:p>
      <w:pPr>
        <w:spacing w:after="0" w:line="20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other new accounting standards were adopted during the nine months ended September 30, 2026. </w:t>
      </w:r>
      <w:r>
        <w:rPr>
          <w:rFonts w:ascii="Times New Roman" w:cs="Times New Roman" w:eastAsia="Times New Roman" w:hAnsi="Times New Roman"/>
          <w:sz w:val="18"/>
          <w:szCs w:val="18"/>
          <w:color w:val="222222"/>
        </w:rPr>
        <w:t>The Company considers the applicability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impact of any recent Accounting Standards Updates (“ASUs”) issued by the Financial Accounting Standards Board (“FASB”), as noted below:</w:t>
      </w:r>
    </w:p>
    <w:p>
      <w:pPr>
        <w:spacing w:after="0" w:line="18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and in January 2025, the FASB issued ASU 2025-01,</w:t>
      </w:r>
      <w:r>
        <w:rPr>
          <w:rFonts w:ascii="Times New Roman" w:cs="Times New Roman" w:eastAsia="Times New Roman" w:hAnsi="Times New Roman"/>
          <w:sz w:val="18"/>
          <w:szCs w:val="18"/>
          <w:i w:val="1"/>
          <w:iCs w:val="1"/>
          <w:color w:val="auto"/>
        </w:rPr>
        <w:t xml:space="preserve"> Clarifying the 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updates require new disclosures to disaggregate prescribed natural expenses underlying any income statement caption. This standard is effective for annual periods in fiscal years beginning after December 15, 2026, and interim periods within those annual periods beginning after December 15, 2027, with early adoption permitted, and will be applied on a prospective basis. The Company is currently evaluating the impact of this guidance on the consolidated financial statements and disclosures.</w:t>
      </w:r>
    </w:p>
    <w:p>
      <w:pPr>
        <w:spacing w:after="0" w:line="20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This update introduces a practical expedient for all entities when estimating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revenue transactions accounted for under Topic 606. The expedient allows entities to assume current conditions as of the balance sheet date remain unchanged over the remaining life of the asset. This amendment is effective for annual periods in fiscal years beginning after December 15, 2025, and interim periods within those annual reporting periods, with early adoption permitted, and will be applied on a prospective basis. The Company is currently evaluating the impact of this guidance on the consolidated financial statements and disclosures.</w:t>
      </w:r>
    </w:p>
    <w:p>
      <w:pPr>
        <w:spacing w:after="0" w:line="20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The standard removes all references to software development stages. It also requires that an entity capitalizes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when both: (1) management has authorized and committed funding to the project and (2) it is probable that the project will be completed and the software is used to perform the intended function. This ASU may be adopted prospectively, retrospectively, or on a modified transition approach based on the status of the project and whether software costs were capitalized before the date of adoption. It is effective for annual periods beginning after December 15, 2027 and interim periods within fiscal years beginning after December 15, 2027 with early adoption permitted. The Company is currently evaluating the impact of this guidance on the consolidated financial statements and disclosures.</w:t>
      </w:r>
    </w:p>
    <w:p>
      <w:pPr>
        <w:spacing w:after="0" w:line="210"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The standard establishes authoritative guidance in U.S. GAAP about accounting for government grants received by business entities and clarifies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appropriate accounting in an effort to reduce diversity in practice, and increase consistency of application across business entities. It is effective for annual reporting periods beginning after December 15, 2028, and interim periods thereafter, with early adoption permitted, and may be applied prospectively, retrospectively, or with a modified retrospective approach. The Company is currently evaluating the impact of this guidance on the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MACI Arthro instruments, Epicel grafts, and NexoBrid following the five-step model in Accounting Standards Codification (“ASC”)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54"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8"/>
          <w:szCs w:val="18"/>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 related to warranties to customers.</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 as of September 30, 2026. The total allowance for uncollectible consideration as of September 30, 2026 and December 31, 2025 was $9.6 million and $8.4 million, respectively. Changes to the estimate of the amount of consideration that will not be collected could have a material impact 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recognized. A 50 basis points change to the estimated uncollectible percentage could result in an approximately $0.6 million decrease or increase in the revenue recognized for the nine months ended September 30, 2026.</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In some cases, volume-based rebates are offered. Similar to MACI, there is no obligation to manufacture Epicel grafts upon receipt of a skin biopsy. The Company recognizes product revenue from sales of Epicel upon delivery to the hospital, at which time the customer is in control of the Epicel grafts and the claim is billable to the hospital.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full-thickness thermal burns. In August 2024, the FDA authorized the expansion of the product’s indication to include pediatric patients.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its delivery to the specialty distributors.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March 2026, the Company entered into an agreement with the U.S. Biomedical Advanced Research and Development Authority (“BARDA”), to procure certain quantities of NexoBrid, establish a Vendor Managed Inventory (“VMI”) system for NexoBrid, potentially design and validate a U.S.-based NexoBrid manufacturing facility, and develop a next generation formulation and an additional indication for the product (see Note 15, “The BARDA Agreement” for further details).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113,086</w:t>
            </w:r>
          </w:p>
        </w:tc>
        <w:tc>
          <w:tcPr>
            <w:tcW w:w="0" w:type="dxa"/>
            <w:vAlign w:val="bottom"/>
          </w:tcPr>
          <w:p>
            <w:pPr>
              <w:spacing w:after="0"/>
              <w:rPr>
                <w:sz w:val="1"/>
                <w:szCs w:val="1"/>
                <w:color w:val="auto"/>
              </w:rPr>
            </w:pPr>
          </w:p>
        </w:tc>
      </w:tr>
      <w:tr>
        <w:trPr>
          <w:trHeight w:val="181"/>
        </w:trPr>
        <w:tc>
          <w:tcPr>
            <w:tcW w:w="554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40" w:type="dxa"/>
            <w:vAlign w:val="bottom"/>
            <w:gridSpan w:val="2"/>
            <w:shd w:val="clear" w:color="auto" w:fill="CCEEFF"/>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pharmacy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3"/>
        </w:trPr>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155,416</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NexoBrid </w:t>
            </w:r>
            <w:r>
              <w:rPr>
                <w:rFonts w:ascii="Times New Roman" w:cs="Times New Roman" w:eastAsia="Times New Roman" w:hAnsi="Times New Roman"/>
                <w:sz w:val="23"/>
                <w:szCs w:val="23"/>
                <w:i w:val="1"/>
                <w:iCs w:val="1"/>
                <w:color w:val="auto"/>
                <w:vertAlign w:val="superscript"/>
              </w:rPr>
              <w:t>(f)</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ind w:left="520" w:right="2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50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is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2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95"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5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the Company recognized $3.0 million of NexoBrid revenue, related to the BARDA Agreement (see Note 15, “The BARDA Agreement” for further details).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18,953</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76,421</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24,651</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139,947</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108,397</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Depreciation expense for the three and nine months ended September 30, 2026 was </w:t>
      </w:r>
      <w:r>
        <w:rPr>
          <w:rFonts w:ascii="Times New Roman" w:cs="Times New Roman" w:eastAsia="Times New Roman" w:hAnsi="Times New Roman"/>
          <w:sz w:val="18"/>
          <w:szCs w:val="18"/>
          <w:color w:val="222222"/>
        </w:rPr>
        <w:t>$3.5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$10.0 million</w:t>
      </w:r>
      <w:r>
        <w:rPr>
          <w:rFonts w:ascii="Times New Roman" w:cs="Times New Roman" w:eastAsia="Times New Roman" w:hAnsi="Times New Roman"/>
          <w:sz w:val="18"/>
          <w:szCs w:val="18"/>
          <w:color w:val="auto"/>
        </w:rPr>
        <w:t xml:space="preserve">, respectively, and </w:t>
      </w:r>
      <w:r>
        <w:rPr>
          <w:rFonts w:ascii="Times New Roman" w:cs="Times New Roman" w:eastAsia="Times New Roman" w:hAnsi="Times New Roman"/>
          <w:sz w:val="18"/>
          <w:szCs w:val="18"/>
          <w:color w:val="222222"/>
        </w:rPr>
        <w:t>$2.8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$8.0 million</w:t>
      </w:r>
      <w:r>
        <w:rPr>
          <w:rFonts w:ascii="Times New Roman" w:cs="Times New Roman" w:eastAsia="Times New Roman" w:hAnsi="Times New Roman"/>
          <w:sz w:val="18"/>
          <w:szCs w:val="18"/>
          <w:color w:val="000000"/>
        </w:rPr>
        <w:t>, respectively, for the same periods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Amortization expense for each of the three and nine months ended September 30, 2026 and 2025 was </w:t>
      </w:r>
      <w:r>
        <w:rPr>
          <w:rFonts w:ascii="Times New Roman" w:cs="Times New Roman" w:eastAsia="Times New Roman" w:hAnsi="Times New Roman"/>
          <w:sz w:val="18"/>
          <w:szCs w:val="18"/>
          <w:color w:val="222222"/>
        </w:rPr>
        <w:t>$0.2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$0.5 million</w:t>
      </w:r>
      <w:r>
        <w:rPr>
          <w:rFonts w:ascii="Times New Roman" w:cs="Times New Roman" w:eastAsia="Times New Roman" w:hAnsi="Times New Roman"/>
          <w:sz w:val="18"/>
          <w:szCs w:val="18"/>
          <w:color w:val="auto"/>
        </w:rPr>
        <w:t>, respectively. The NexoBrid intangible asset is amortized to cost of product sales.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September 30, 2026 is estimated to be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4"/>
                <w:szCs w:val="24"/>
                <w:color w:val="auto"/>
              </w:rPr>
            </w:pP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24"/>
                <w:szCs w:val="24"/>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rebates</w:t>
            </w:r>
          </w:p>
        </w:tc>
        <w:tc>
          <w:tcPr>
            <w:tcW w:w="1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certain equipment.</w:t>
      </w:r>
    </w:p>
    <w:p>
      <w:pPr>
        <w:spacing w:after="0" w:line="20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Burlington facility is complete, and the Company is currently utilizing the facility’s office space. In March 2026, the Company received FDA approval to begin MACI commercial manufacturing at the Burlington facility, and a portion of the tenant improvements to the manufacturing suites and related equipment related to MACI manufacturing were placed in service following the FDA approval. The Company is currently transitioning the Burlington facility’s manufacturing component into the primary manufacturing facility for MACI, and has begun manufacturing a portion of MACI implants at that location. The Company intends that the Burlington facility’s manufacturing component will eventually also become the primary manufacturing facility for Epicel, upon FDA qualification for Epicel manufacturing.</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For each of the three and nine months ended September 30, 2026 and 2025, lease expense of less than </w:t>
      </w:r>
      <w:r>
        <w:rPr>
          <w:rFonts w:ascii="Times New Roman" w:cs="Times New Roman" w:eastAsia="Times New Roman" w:hAnsi="Times New Roman"/>
          <w:sz w:val="18"/>
          <w:szCs w:val="18"/>
          <w:color w:val="222222"/>
        </w:rPr>
        <w:t>$0.1 million</w:t>
      </w:r>
      <w:r>
        <w:rPr>
          <w:rFonts w:ascii="Times New Roman" w:cs="Times New Roman" w:eastAsia="Times New Roman" w:hAnsi="Times New Roman"/>
          <w:sz w:val="18"/>
          <w:szCs w:val="18"/>
          <w:color w:val="auto"/>
        </w:rPr>
        <w:t xml:space="preserve"> and less than </w:t>
      </w:r>
      <w:r>
        <w:rPr>
          <w:rFonts w:ascii="Times New Roman" w:cs="Times New Roman" w:eastAsia="Times New Roman" w:hAnsi="Times New Roman"/>
          <w:sz w:val="18"/>
          <w:szCs w:val="18"/>
          <w:color w:val="222222"/>
        </w:rPr>
        <w:t>$0.3 million</w:t>
      </w:r>
      <w:r>
        <w:rPr>
          <w:rFonts w:ascii="Times New Roman" w:cs="Times New Roman" w:eastAsia="Times New Roman" w:hAnsi="Times New Roman"/>
          <w:sz w:val="18"/>
          <w:szCs w:val="18"/>
          <w:color w:val="auto"/>
        </w:rPr>
        <w:t>, respectively, was recorded related to short-term leases. For each of the three and nine months ended September 30, 2026 and 2025, t</w:t>
      </w:r>
      <w:r>
        <w:rPr>
          <w:rFonts w:ascii="Times New Roman" w:cs="Times New Roman" w:eastAsia="Times New Roman" w:hAnsi="Times New Roman"/>
          <w:sz w:val="18"/>
          <w:szCs w:val="18"/>
          <w:color w:val="222222"/>
        </w:rPr>
        <w: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recognized $3.0 million and $9.0 million of operating lease expense, respectively. For each of the </w:t>
      </w:r>
      <w:r>
        <w:rPr>
          <w:rFonts w:ascii="Times New Roman" w:cs="Times New Roman" w:eastAsia="Times New Roman" w:hAnsi="Times New Roman"/>
          <w:sz w:val="18"/>
          <w:szCs w:val="18"/>
          <w:color w:val="000000"/>
        </w:rPr>
        <w:t>three and nine months ended September 30, 2026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2025, </w:t>
      </w:r>
      <w:r>
        <w:rPr>
          <w:rFonts w:ascii="Times New Roman" w:cs="Times New Roman" w:eastAsia="Times New Roman" w:hAnsi="Times New Roman"/>
          <w:sz w:val="18"/>
          <w:szCs w:val="18"/>
          <w:color w:val="222222"/>
        </w:rPr>
        <w:t>the Company recognized less than</w:t>
      </w:r>
      <w:r>
        <w:rPr>
          <w:rFonts w:ascii="Times New Roman" w:cs="Times New Roman" w:eastAsia="Times New Roman" w:hAnsi="Times New Roman"/>
          <w:sz w:val="18"/>
          <w:szCs w:val="18"/>
          <w:color w:val="000000"/>
        </w:rPr>
        <w:t xml:space="preserve"> $0.1 million </w:t>
      </w:r>
      <w:r>
        <w:rPr>
          <w:rFonts w:ascii="Times New Roman" w:cs="Times New Roman" w:eastAsia="Times New Roman" w:hAnsi="Times New Roman"/>
          <w:sz w:val="18"/>
          <w:szCs w:val="18"/>
          <w:color w:val="222222"/>
        </w:rPr>
        <w:t>of financing lease expense</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64,774</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65,460</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82,284</w:t>
            </w: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96,891</w:t>
            </w: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98,802</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firstLine="243"/>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all marketable securities held by the Company had remaining contractual maturities of three years or less. There have been no impairments of the Company’s assets measured and carried at fair value during the three and nine months ended September 30, 2026 and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10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right="80" w:firstLine="243"/>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2025 to September 30, 2026.</w:t>
      </w:r>
    </w:p>
    <w:p>
      <w:pPr>
        <w:sectPr>
          <w:pgSz w:w="11900" w:h="16838" w:orient="portrait"/>
          <w:cols w:equalWidth="0" w:num="1">
            <w:col w:w="11320"/>
          </w:cols>
          <w:pgMar w:left="32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valuation of the Company’s financial assets and liabilities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33655</wp:posOffset>
            </wp:positionV>
            <wp:extent cx="2511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33655</wp:posOffset>
            </wp:positionV>
            <wp:extent cx="25463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29"/>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251"/>
        <w:spacing w:after="0" w:line="302"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$42.4 million of U.S. government securities had an original maturity of 90 days or less and were recorded as a cash equivalent as of September 30, 2026. Approximately $47.8 million of U.S. government securities and $2.0 million of commercial paper had an original maturity of 90 days or less and were recorded as a cash equivalent as of December 31, 2025.</w:t>
      </w:r>
    </w:p>
    <w:p>
      <w:pPr>
        <w:spacing w:after="0" w:line="19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 accounts payable and accrued expenses are valued at cost which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$6.0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September 30, 2026, there are no outstanding borrowings under the Revolving Credit Agreement.</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in certain circumstances;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jc w:val="both"/>
        <w:ind w:left="260" w:right="9360" w:hanging="252"/>
        <w:spacing w:after="0" w:line="549" w:lineRule="auto"/>
        <w:tabs>
          <w:tab w:leader="none" w:pos="197"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Shareholders’ Equity Repurchase Program</w:t>
      </w:r>
    </w:p>
    <w:p>
      <w:pPr>
        <w:spacing w:after="0" w:line="1" w:lineRule="exact"/>
        <w:rPr>
          <w:sz w:val="20"/>
          <w:szCs w:val="20"/>
          <w:color w:val="auto"/>
        </w:rPr>
      </w:pPr>
    </w:p>
    <w:p>
      <w:pPr>
        <w:jc w:val="both"/>
        <w:ind w:firstLine="243"/>
        <w:spacing w:after="0" w:line="232" w:lineRule="exact"/>
        <w:rPr>
          <w:sz w:val="20"/>
          <w:szCs w:val="20"/>
          <w:color w:val="auto"/>
        </w:rPr>
      </w:pPr>
      <w:r>
        <w:rPr>
          <w:rFonts w:ascii="Times New Roman" w:cs="Times New Roman" w:eastAsia="Times New Roman" w:hAnsi="Times New Roman"/>
          <w:sz w:val="18"/>
          <w:szCs w:val="18"/>
          <w:color w:val="auto"/>
        </w:rPr>
        <w:t>In July 2026, the Company’s Board of Directors authorized the repurchase of up to $200.0 million of the Company’s common stock, with no expiration date. The authorization allows for repurchases to be made in the open market, privately negotiated transactions, or otherwise, in accordance with applicable federal securities laws, including through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plans and under Rule 10b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of the Securities Exchange Act of 1934, as amended.</w:t>
      </w:r>
    </w:p>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specific timing, price and size of purchases will depend on prevailing stock prices, general economic and market conditions, and other considerations. The share repurchase program does not obligate the Company to acquire any specific amount of the Company’s common stock and may be suspended or discontinued at any time at the Company’s discretion.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and retired 220,744 shares of its common stock for a total cost of $8.8 million, or an average of $40.08 per share. As of September 30, 2026, the Company had $191.2 million available to repurchase under the repurchase program.</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Repurchased shares are automatically retired and constitute authorized but unissued shares.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the Vericel Corporation Amended and Restated 2022 Omnibus Incentive Plan (“Amended and Restated 2022 Plan”) was approved on April 30, 2025.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service-based options to purchase common stock of 580,440, at a weighted-average grant-date fair value of $19.71 per option. There were no service-based options granted during the three months ended September 30, 2026. During the three and nine months ended September 30, 2025, the Company granted service-based options to purchase common stock of 13,500 and 590,223, respectively. The weighted-average grant-date fair value of service-based options granted during the three and nine months ended September 30, 2025 was $17.74 and $28.59 per option,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granted 10,380 and 599,931 restricted stock units, respectively, and 20,760 and 576,711, respectively, for the same periods in 2025. The weighted-average grant-date fair value of restricted stock units granted during the three and nine months ended September 30, 2026 was $42.78 and $37.98 per unit, respectively, and $33.95 and $51.22 per unit, respectively, for the same periods in 2025.</w:t>
      </w:r>
    </w:p>
    <w:p>
      <w:pPr>
        <w:spacing w:after="0" w:line="20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Common Share</w:t>
      </w:r>
    </w:p>
    <w:p>
      <w:pPr>
        <w:spacing w:after="0" w:line="256"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net income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income (loss) per common share</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income (loss) per common share: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NexoBrid License and Supply Agreements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full-thickness thermal burns. Subsequently, in August 2024, the FDA approved a supplemental BLA expanding NexoBrid’s indication to include pediatric patients.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FDA’s approval of the BLA for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(see Note 4, “Selected Balance Sheet Components” for further details). The $7.5 million milestone payment was paid to MediWound in February of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September 30, 2026, the sales milestone payments are not yet probable and therefore, not recorded as a liability. The Company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was obligated to supply the Company with NexoBrid for sale in North America on an exclusive basis for the first five years of the term of the supply agreement. Under the supply agreement, the Company possessed the option to extend the initial term of the agreement by an additional 24 months, which it did in May 2022. After the initial term, the Company may extend the supply agreement on an annual basis for up to 10 additional years, at its sole discretion. In March 2025 and March 2026, the Company exercised the first and second of these annual extensions, respectively, extending the term of the supply agreement through at least May 2028. Under the supply agreement, the Company is permitted to establish an alternate source of supply in certain circumstances, including the event of a supply failure.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within the Company’s consolidated statements of operations, see below for disaggregated amounts that comprise selling, general and administrative expenses: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66,299</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The BARDA Agreement</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March 31, 2026, the Company entered into a ten-year agreement with the U.S. Biomedical Advanced Research and Development Authority (“BARDA”), part of the Administration for Strategic Preparedness and Response (“ASPR”) within the U.S. Department of Health and Human Services (the “BARDA Agreement”). The BARDA Agreement is valued at up to $196.9 million and details BARDA’s agreement to procure certain quantities of NexoBrid, establish a Vendor Managed Inventory (“VMI”) system for NexoBrid, potentially design and validate a U.S.-based NexoBrid manufacturing facility, and develop a next generation formulation and an additional indication for the product.</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BARDA Agreement’s base period encompasses $34.9 million in BARDA funding, which includes approximately $10 million for the initial procurement of NexoBrid for emergency preparedness and VMI establishment, funding for VMI-related services and initial development activities for a potential expanded NexoBrid indication for the treatment of blast trauma injuries. The BARDA Agreement, which became effective on April 1, 2026, also includes optional awards for additional NexoBrid procurement, further clinical development for a potential blast trauma indication, design and validation of a potential U.S.-based manufacturing facility and the development and procurement of a room temperature stable formulation of NexoBrid. The Company recorded $3.0 million in revenue from this agreement during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Vericel Corporation is a leading provider of advanced therapies for the sports medicine and severe burn care markets. We have a highly differentiated portfolio of cell therapy and specialty biologic products that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4" w:lineRule="exact"/>
        <w:rPr>
          <w:sz w:val="20"/>
          <w:szCs w:val="20"/>
          <w:color w:val="auto"/>
        </w:rPr>
      </w:pPr>
    </w:p>
    <w:p>
      <w:pPr>
        <w:jc w:val="both"/>
        <w:ind w:firstLine="243"/>
        <w:spacing w:after="0" w:line="229"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the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currently used for U.S. manufacturing and distribution of MACI and Epicel. In January 2022, we entered into a lease agreement (as amended, the “Burlington Lease”) to lease approximately 126,000 square feet of manufacturing, laboratory and office space in Burlington, Massachusetts. The Burlington facility is complete, and we are currently utilizing the facility’s office space. In March 2026, we received FDA approval to begin MACI commercial manufacturing at the Burlington facility and we are currently transitioning the facility’s manufacturing component into the primary manufacturing facility for MACI, and have begun manufacturing a portion of MACI implants at that location. We intend that the Burlington facility’s manufacturing component will eventually also become the primary manufacturing facility for Epicel, upon FDA qualification for Epicel manufacturing.</w:t>
      </w:r>
    </w:p>
    <w:p>
      <w:pPr>
        <w:spacing w:after="0" w:line="21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MACI and Epicel, are currently manufactured and marketed in the U.S. NexoBrid is a topically-administered biological orphan product containing proteolytic enzymes that is indicated for eschar removal in adult and pediatric patients with deep partial-thickness and/or full-thickness thermal burns. We hold exclusive license and supply agreements with MediWound to commercialize NexoBrid in North America. We operate our business primarily in the U.S. in one reportable segment - the research, product development, manufacture and distribution of cellular therapies and specialty biologics for use in the treatment of specific conditions.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A vast majority of the largest commercial payers in the U.S. have a formal medical policy that provides benefit coverage for treatment with MACI. With respect to private commercial payers that have not yet approved a medical policy for MACI, we often obtain approval on a case-by-case basis.</w:t>
      </w:r>
    </w:p>
    <w:p>
      <w:pPr>
        <w:spacing w:after="0" w:line="210"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a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may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MACI Arthro instruments at that time. We have experienced strong surgeon interest in the MACI Arthro technique since its launch, and we believe that the availability of MACI Arthro provides a significant growth opportunity for the overall MACI business.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also are focused on delivering MACI treatment to patients suffering from cartilage damage in the ankle. Following an application to the FDA, we received Investigational New Drug (“IND”) clearance for MACI’s use in the ankle during the second quarter of 2025, and during the fourth quarter of 2025 initiated a Study of MACI in Patients Aged 17 to 65 with Symptomatic Chondral or Osteochondral Defects of the Talus (“MASCOT”). MASCOT is a two-year prospective, multicenter, two-arm, parallel group open-label trial in which a total of 309 subjects, aged 17 to 65, will be randomized using a 2:1 ratio to receive a one-time treatment in the talus with MACI or arthroscopic bone marrow stimulation. MASCOT is the first randomized, controlled clinical trial evaluating MACI for the treatment of Osteochondral Lesion of the Talus (“OLT”). There are approximately 165,000 ankle resurfacing procedures conducted in the U.S. each year. Approximately 66,000 of those patients each year are considered clinically appropriate for MACI by surgeons. We estimate that approximately 18,000 of those patients suffer from larger ankle cartilage lesions, resulting in an increase of MACI’s addressable market. If approved, we believe MACI’s label expansion allowing its use to repair cartilage defects in the ankle will be a significant long-term growth driver for the product in the coming years.</w:t>
      </w:r>
    </w:p>
    <w:p>
      <w:pPr>
        <w:spacing w:after="0" w:line="2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Finally, our Burlington facility, discussed more fully above, is designed to meet both U.S. and global manufacturing requirements, which provides strategic flexibility to potentially commercialize MACI outside the U.S., and we are currently evaluating introducing MACI in additional geographies. We are currently focused on obtaining regulatory and marketing approval for MACI in the United Kingdom through the Medicine and Healthcare products Regulatory Agency (“MHRA”) and, if successful, anticipate commercializing MACI in the United Kingdom in 2027.</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FDA’s Center for Biologics Evaluation and Research (“CBER”)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8,000 individuals annually in the U.S., and, for certain HUDs, the amount a manufacturer may charge for the product’s use is restricted.</w:t>
      </w:r>
    </w:p>
    <w:p>
      <w:pPr>
        <w:spacing w:after="0" w:line="25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in 2016, the FDA approved our HDE supplement to revise the labeled indications of use for Epicel to specifically include pediatric patients, thus allowing Epicel to be sold for profit. The product label also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NexoBrid is indicated for the removal of eschar in adults with deep partial-thickness and/or full-thickness thermal burns. Subsequently, in August 2024, the FDA approved an sBLA expanding NexoBrid’s indication to include pediatric patients.</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to the U.S., 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permits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ind w:firstLine="243"/>
        <w:spacing w:after="0" w:line="232" w:lineRule="exact"/>
        <w:rPr>
          <w:sz w:val="20"/>
          <w:szCs w:val="20"/>
          <w:color w:val="auto"/>
        </w:rPr>
      </w:pPr>
      <w:r>
        <w:rPr>
          <w:rFonts w:ascii="Times New Roman" w:cs="Times New Roman" w:eastAsia="Times New Roman" w:hAnsi="Times New Roman"/>
          <w:sz w:val="18"/>
          <w:szCs w:val="18"/>
          <w:color w:val="auto"/>
        </w:rPr>
        <w:t>In July 2026, our Board of Directors authorized the repurchase of up to $200.0 million of the Company’s common stock, with no expiration date. The authorization allows for repurchases to be made in the open market, privately negotiated transactions, or otherwise, in accordance with applicable federal securities laws, including through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plans and under Rule 10b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of the Securities Exchange Act of 1934, as amended.</w:t>
      </w:r>
    </w:p>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specific timing, price and size of purchases will depend on prevailing stock prices, general economic and market conditions, and other considerations. The share repurchase program does not obligate us to acquire any specific amount of our common stock and may be suspended or discontinued at any time at our discretion (see Note 9, “Shareholders’ Equity” in the accompanying condensed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2026 and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155,416</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100.8 %</w:t>
            </w:r>
          </w:p>
        </w:tc>
        <w:tc>
          <w:tcPr>
            <w:tcW w:w="0" w:type="dxa"/>
            <w:vAlign w:val="bottom"/>
          </w:tcPr>
          <w:p>
            <w:pPr>
              <w:spacing w:after="0"/>
              <w:rPr>
                <w:sz w:val="1"/>
                <w:szCs w:val="1"/>
                <w:color w:val="auto"/>
              </w:rPr>
            </w:pPr>
          </w:p>
        </w:tc>
      </w:tr>
      <w:tr>
        <w:trPr>
          <w:trHeight w:val="223"/>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and nine months ended September 30, 2026, compared to the same periods in 2025, was driven primarily by volume and price growth across all products, including approximately $3.0 million of NexoBrid sales to BARDA.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2025, MACI sales volumes from the first through the fourth quarter on average represented 21% (20%-22% range), 23% (22%-24% range), 22% (21%-24% range) and 34% (33%-34%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has inherent variability from quarter-to-quarter and does not exhibit significant seasonality.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increased for the three and nine months ended September 30, 2026, compared to the same periods in 2025, primarily driven by MACI, Epicel and NexoBrid revenue growth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2026 were $6.9 million and $22.5 million, respectively, compared to $6.3 million and $20.3 million, respectively, for the same periods in 2025. The increase is primarily due to higher headcount and employee expenses, regulatory support for the potential launch of MACI in the United Kingdom and spend related to the MACI MASCOT trial.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and nine months ended September 30, 2026 were $43.5 million and $141.2 million, respectively, compared to $39.8 million and $123.5 million, respectively, for the same periods in 2025. The increase in selling, general and administrative expenses for the three and nine months ended September 30, 2026 is primarily due to higher headcount and employee expenses, including the MACI sales force expansion, and an increase in marketing programs.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total other income for the three and nine months ended September 30, 2026, compared to the same periods in 2025 was due to an increase in interest income, which was primarily due to fluctuations in the balances and rates of return on our investments in various marketable debt securities and money market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56"/>
        </w:trPr>
        <w:tc>
          <w:tcPr>
            <w:tcW w:w="270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non-cash stock-based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decrease in non-cash stock-based compensation expense for the three and nine months ended September 30, 2026, compared to the same periods in 2025,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50,297</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8"/>
              </w:rPr>
              <w:t>(9,729)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8"/>
              </w:rPr>
              <w:t>(7,167)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33,401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cash and cash equivalents totaled $133.5 million, short-term investments totaled $36.8 million and long-term investments totaled $65.3 million as of September 30, 2026. The $50.3 million of cash provided by operations during the nine months ended September 30, 2026 was primarily the result of non-cash charges of $28.2 million related to stock-based compensation expense, $10.5 million in depreciation and amortization expense, net income of $10.1 million and $4.2 million of operating lease amortization, partially offset by a net decrease of $3.1 million related to movements in our working capital accounts. The overall decrease in cash from our working capital accounts was primarily driven by payments on operating leases and an increase in prepaid contracts, partially offset by an increase in accounts payable due to timing of payments.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cash and cash equivalents totaled $100.4 million, short-term investments totaled $35.0 million and long-term investments totaled $49.7 million as of September 30, 2025. The $36.9 million of cash provided by operations during the nine months ended September 30, 2025 was primarily the result of non-cash charges of $30.3 million related to stock-based compensation expense, $8.5 million in depreciation and amortization expense and $4.0 million of operating lease amortization, partially offset by a net loss of $6.7 million and a net increase of $0.1 million related to movements in our working capital accounts. The overall increase in cash from our working capital accounts was primarily driven by an increase in accounts payable due to timing of payments, partially offset by payments on operating leases and a decrease in accrued expenses due to timing of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2026 was the result of $39.7 million in investment purchases and $5.2 million of property and equipment purchases primarily for construction in process, partially offset by $35.2 million of investment sales and maturities.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the result of $43.5 million in investment purchases and $25.0 million of property and equipment purchases primarily for construction in process related to the Burlington Lease, partially offset by $40.9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2026 was the result of repurchases of common stock of $8.5 million and payment of employee withholding taxes related to the vesting of restricted stock units of $4.9 million, partially offset by the net proceeds from the exercise of stock options and the employee stock purchase plan of $6.4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2025 was the result of net proceeds from the exercise of stock options and the employee stock purchase plan of $12.7 million, partially offset by the payment of employee withholding taxes related to the vesting of restricted stock units of $6.6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To date, we have financed our operations primarily through cash received through MACI, Epicel and NexoBrid sales, debt, and public and private sales of our equity securities. In the future, we may finance our operations through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September 30, 2026, there are no outstanding borrowings under the Revolving Credit Agreement, and we are in compliance with all applicable covenant requirements. See Note 8, “Revolving Credit Agreement” in the accompanying condensed consolidated financial statements for further details.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 and Results of Operations - Contractual Obligations” in our Annual Report on Form 10-K for the year ended December 31, 2025. There have been no other material changes, outside of the ordinary course of business, to our contractual obligations and commitments since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nine months ended September 30, 2026. For further information, refer to our summary of significant accounting policies and estimates in our Annual Report on Form 10-K filed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U.S. and in applicable markets outside the U.S., growth in profit, gross margins and operating margins, the ability to continue to scale our manufacturing operations to meet the demand for our cell therapy products, the ability to sustain profitability,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timing and likelihood of obtaining market approval for MACI in the United Kingdom, the estimate of the commercial growth potential of our products and product candidates, competitive developments, changes in third-party coverage and reimbursement, including recent and future healthcare and drug pricing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or those related to disruptions of land or sea transportation routes or distribution or shipping channels, uncertainties associated with the potential benefits of the Company’s agreement with BARDA for the procurement and development of NexoBrid and the availability of funding from BARDA under that agreement, negative impacts on the global economy and capital markets resulting from the conflicts in Ukraine and Iran, as well as other hostilities in the Middle East,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changes in governmental monetary and fiscal policies, including, but not limited to, Federal Reserve policies in connection with continued inflationary pressures, the impact from future regulatory, judicial and legislative changes affecting our industry or to the broader market, including those included in the One Big Beautiful Bill Act (the “OBBBA”), and a U.S. government shutdown.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 and in our subsequent reports filed with the SEC.</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2025. Our exposures to market risk have not changed materially since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September 30, 2026,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2025, filed with the SEC on February 26, 2026.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contains information regarding all repurchases of our common stock for the three months ended September 30, 2026:</w:t>
      </w:r>
    </w:p>
    <w:p>
      <w:pPr>
        <w:spacing w:after="0" w:line="27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(in millions) that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46,829</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2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173,915</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23"/>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20" w:hanging="169"/>
        <w:spacing w:after="0" w:line="183" w:lineRule="exact"/>
        <w:tabs>
          <w:tab w:leader="none" w:pos="407"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July 30, 2026, we announced the approval by our Board of Directors of repurchase authorization with no expiration date. Under this authorization, the Company may repurchase up to $200.0 million of outstanding shares of our common stock. The authorization allows for repurchases to be made in the open market, privately negotiated transactions, or otherwise, in accordance with applicable federal securities laws, including through Rule 10b5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trading plans and under Rule 10b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18 of the Securities Exchange Act of 1934, as amended.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following Section 16 officers or directors adopted, modified or terminated a “Rule 10b5-1 trading arrangement” (as defined in Item 408 of Regulation S-K of the Exchange Act).</w:t>
      </w:r>
    </w:p>
    <w:p>
      <w:pPr>
        <w:spacing w:after="0" w:line="18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2026, Kevin McLaughlin, a member of the Vericel Corporation Board of Directors, entered into a Rule 10b5-1 trading arrangement providing for the potential sale of up to 26,250 shares of our common stock between February 10, 2027 and November 30, 2027.</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25, 2026, Dominick Colangelo, Vericel Corporation’s Chief Executive Officer, entered into a Rule 10b5-1 trading arrangement providing for the potential sale of up to 279,307 shares of our common stock between December 9, 2026 and August 27, 2027. All of the shares subject to this arrangement are in the form of stock options that were awarded to Mr. Colangelo on February 7, 2018, and which would otherwise expire and become forfeitable on February 7, 2028.</w:t>
      </w:r>
    </w:p>
    <w:p>
      <w:pPr>
        <w:spacing w:after="0" w:line="20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three months ended September 30, 2026 by our Section 16 officers or directors.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33655</wp:posOffset>
            </wp:positionV>
            <wp:extent cx="31718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5" w:lineRule="exact"/>
        <w:rPr>
          <w:sz w:val="20"/>
          <w:szCs w:val="20"/>
          <w:color w:val="auto"/>
        </w:rPr>
      </w:pPr>
    </w:p>
    <w:p>
      <w:pPr>
        <w:spacing w:after="0"/>
        <w:tabs>
          <w:tab w:leader="none" w:pos="3440" w:val="left"/>
          <w:tab w:leader="none" w:pos="4480" w:val="left"/>
          <w:tab w:leader="none" w:pos="5860" w:val="left"/>
          <w:tab w:leader="none" w:pos="7040" w:val="left"/>
        </w:tabs>
        <w:rPr>
          <w:sz w:val="20"/>
          <w:szCs w:val="20"/>
          <w:color w:val="auto"/>
        </w:rPr>
      </w:pPr>
      <w:r>
        <w:rPr>
          <w:rFonts w:ascii="Times New Roman" w:cs="Times New Roman" w:eastAsia="Times New Roman" w:hAnsi="Times New Roman"/>
          <w:sz w:val="14"/>
          <w:szCs w:val="14"/>
          <w:b w:val="1"/>
          <w:bCs w:val="1"/>
          <w:color w:val="auto"/>
        </w:rPr>
        <w:t>Description of Exhibits</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33655</wp:posOffset>
            </wp:positionV>
            <wp:extent cx="699516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2320" w:space="720"/>
            <w:col w:w="8100"/>
          </w:cols>
          <w:pgMar w:left="320" w:top="117" w:right="439" w:bottom="1440" w:gutter="0" w:footer="0" w:header="0"/>
          <w:type w:val="continuous"/>
        </w:sectPr>
      </w:pPr>
    </w:p>
    <w:p>
      <w:pPr>
        <w:spacing w:after="0" w:line="21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101.CAL*</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101.LAB*</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Restated Articles of Incorporation of the Company.</w:t>
        </w:r>
      </w:hyperlink>
    </w:p>
    <w:p>
      <w:pPr>
        <w:spacing w:after="0" w:line="27" w:lineRule="exact"/>
        <w:rPr>
          <w:sz w:val="20"/>
          <w:szCs w:val="20"/>
          <w:color w:val="auto"/>
        </w:rPr>
      </w:pPr>
    </w:p>
    <w:p>
      <w:pPr>
        <w:ind w:right="460"/>
        <w:spacing w:after="0" w:line="253" w:lineRule="auto"/>
        <w:rPr>
          <w:rFonts w:ascii="Times New Roman" w:cs="Times New Roman" w:eastAsia="Times New Roman" w:hAnsi="Times New Roman"/>
          <w:sz w:val="17"/>
          <w:szCs w:val="17"/>
          <w:u w:val="single" w:color="auto"/>
          <w:color w:val="0000FF"/>
        </w:rPr>
      </w:pPr>
      <w:hyperlink r:id="rId53">
        <w:r>
          <w:rPr>
            <w:rFonts w:ascii="Times New Roman" w:cs="Times New Roman" w:eastAsia="Times New Roman" w:hAnsi="Times New Roman"/>
            <w:sz w:val="17"/>
            <w:szCs w:val="17"/>
            <w:u w:val="single" w:color="auto"/>
            <w:color w:val="0000FF"/>
          </w:rPr>
          <w:t>Certificate of Amendment to Restated Articles of</w:t>
        </w:r>
      </w:hyperlink>
      <w:r>
        <w:rPr>
          <w:rFonts w:ascii="Times New Roman" w:cs="Times New Roman" w:eastAsia="Times New Roman" w:hAnsi="Times New Roman"/>
          <w:sz w:val="17"/>
          <w:szCs w:val="17"/>
          <w:u w:val="single" w:color="auto"/>
          <w:color w:val="0000FF"/>
        </w:rPr>
        <w:t xml:space="preserve"> </w:t>
      </w:r>
      <w:hyperlink r:id="rId53">
        <w:r>
          <w:rPr>
            <w:rFonts w:ascii="Times New Roman" w:cs="Times New Roman" w:eastAsia="Times New Roman" w:hAnsi="Times New Roman"/>
            <w:sz w:val="17"/>
            <w:szCs w:val="17"/>
            <w:u w:val="single" w:color="auto"/>
            <w:color w:val="0000FF"/>
          </w:rPr>
          <w:t>Incorporation of the Company dated February 9, 2010.</w:t>
        </w:r>
      </w:hyperlink>
    </w:p>
    <w:p>
      <w:pPr>
        <w:spacing w:after="0" w:line="2" w:lineRule="exact"/>
        <w:rPr>
          <w:sz w:val="20"/>
          <w:szCs w:val="20"/>
          <w:color w:val="auto"/>
        </w:rPr>
      </w:pPr>
    </w:p>
    <w:p>
      <w:pPr>
        <w:ind w:right="560"/>
        <w:spacing w:after="0" w:line="256" w:lineRule="auto"/>
        <w:rPr>
          <w:rFonts w:ascii="Times New Roman" w:cs="Times New Roman" w:eastAsia="Times New Roman" w:hAnsi="Times New Roman"/>
          <w:sz w:val="17"/>
          <w:szCs w:val="17"/>
          <w:u w:val="single" w:color="auto"/>
          <w:color w:val="0000FF"/>
        </w:rPr>
      </w:pPr>
      <w:hyperlink r:id="rId54">
        <w:r>
          <w:rPr>
            <w:rFonts w:ascii="Times New Roman" w:cs="Times New Roman" w:eastAsia="Times New Roman" w:hAnsi="Times New Roman"/>
            <w:sz w:val="17"/>
            <w:szCs w:val="17"/>
            <w:u w:val="single" w:color="auto"/>
            <w:color w:val="0000FF"/>
          </w:rPr>
          <w:t>Certificate of Amendment to Restated Articles of</w:t>
        </w:r>
      </w:hyperlink>
      <w:r>
        <w:rPr>
          <w:rFonts w:ascii="Times New Roman" w:cs="Times New Roman" w:eastAsia="Times New Roman" w:hAnsi="Times New Roman"/>
          <w:sz w:val="17"/>
          <w:szCs w:val="17"/>
          <w:u w:val="single" w:color="auto"/>
          <w:color w:val="0000FF"/>
        </w:rPr>
        <w:t xml:space="preserve"> </w:t>
      </w:r>
      <w:hyperlink r:id="rId54">
        <w:r>
          <w:rPr>
            <w:rFonts w:ascii="Times New Roman" w:cs="Times New Roman" w:eastAsia="Times New Roman" w:hAnsi="Times New Roman"/>
            <w:sz w:val="17"/>
            <w:szCs w:val="17"/>
            <w:u w:val="single" w:color="auto"/>
            <w:color w:val="0000FF"/>
          </w:rPr>
          <w:t>Incorporation of the Company dated March 22,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-260985</wp:posOffset>
            </wp:positionV>
            <wp:extent cx="699516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right="240"/>
        <w:spacing w:after="0" w:line="256" w:lineRule="auto"/>
        <w:rPr>
          <w:rFonts w:ascii="Times New Roman" w:cs="Times New Roman" w:eastAsia="Times New Roman" w:hAnsi="Times New Roman"/>
          <w:sz w:val="17"/>
          <w:szCs w:val="17"/>
          <w:u w:val="single" w:color="auto"/>
          <w:color w:val="0000FF"/>
        </w:rPr>
      </w:pPr>
      <w:hyperlink r:id="rId56">
        <w:r>
          <w:rPr>
            <w:rFonts w:ascii="Times New Roman" w:cs="Times New Roman" w:eastAsia="Times New Roman" w:hAnsi="Times New Roman"/>
            <w:sz w:val="17"/>
            <w:szCs w:val="17"/>
            <w:u w:val="single" w:color="auto"/>
            <w:color w:val="0000FF"/>
          </w:rPr>
          <w:t>Certificate of Amendment to the Restated Articles of</w:t>
        </w:r>
      </w:hyperlink>
      <w:r>
        <w:rPr>
          <w:rFonts w:ascii="Times New Roman" w:cs="Times New Roman" w:eastAsia="Times New Roman" w:hAnsi="Times New Roman"/>
          <w:sz w:val="17"/>
          <w:szCs w:val="17"/>
          <w:u w:val="single" w:color="auto"/>
          <w:color w:val="0000FF"/>
        </w:rPr>
        <w:t xml:space="preserve"> </w:t>
      </w:r>
      <w:hyperlink r:id="rId56">
        <w:r>
          <w:rPr>
            <w:rFonts w:ascii="Times New Roman" w:cs="Times New Roman" w:eastAsia="Times New Roman" w:hAnsi="Times New Roman"/>
            <w:sz w:val="17"/>
            <w:szCs w:val="17"/>
            <w:u w:val="single" w:color="auto"/>
            <w:color w:val="0000FF"/>
          </w:rPr>
          <w:t>Incorporation of the Company, dated November 21, 2014.</w:t>
        </w:r>
      </w:hyperlink>
    </w:p>
    <w:p>
      <w:pPr>
        <w:spacing w:after="0" w:line="1" w:lineRule="exact"/>
        <w:rPr>
          <w:sz w:val="20"/>
          <w:szCs w:val="20"/>
          <w:color w:val="auto"/>
        </w:rPr>
      </w:pPr>
    </w:p>
    <w:p>
      <w:pPr>
        <w:ind w:right="840"/>
        <w:spacing w:after="0" w:line="256" w:lineRule="auto"/>
        <w:rPr>
          <w:rFonts w:ascii="Times New Roman" w:cs="Times New Roman" w:eastAsia="Times New Roman" w:hAnsi="Times New Roman"/>
          <w:sz w:val="17"/>
          <w:szCs w:val="17"/>
          <w:u w:val="single" w:color="auto"/>
          <w:color w:val="0000FF"/>
        </w:rPr>
      </w:pPr>
      <w:hyperlink r:id="rId57">
        <w:r>
          <w:rPr>
            <w:rFonts w:ascii="Times New Roman" w:cs="Times New Roman" w:eastAsia="Times New Roman" w:hAnsi="Times New Roman"/>
            <w:sz w:val="17"/>
            <w:szCs w:val="17"/>
            <w:u w:val="single" w:color="auto"/>
            <w:color w:val="0000FF"/>
          </w:rPr>
          <w:t>Second Amended and Restated Bylaws of Vericel</w:t>
        </w:r>
      </w:hyperlink>
      <w:r>
        <w:rPr>
          <w:rFonts w:ascii="Times New Roman" w:cs="Times New Roman" w:eastAsia="Times New Roman" w:hAnsi="Times New Roman"/>
          <w:sz w:val="17"/>
          <w:szCs w:val="17"/>
          <w:u w:val="single" w:color="auto"/>
          <w:color w:val="0000FF"/>
        </w:rPr>
        <w:t xml:space="preserve"> </w:t>
      </w:r>
      <w:hyperlink r:id="rId57">
        <w:r>
          <w:rPr>
            <w:rFonts w:ascii="Times New Roman" w:cs="Times New Roman" w:eastAsia="Times New Roman" w:hAnsi="Times New Roman"/>
            <w:sz w:val="17"/>
            <w:szCs w:val="17"/>
            <w:u w:val="single" w:color="auto"/>
            <w:color w:val="0000FF"/>
          </w:rPr>
          <w:t>Corporation, effective as of May 18,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-260985</wp:posOffset>
            </wp:positionV>
            <wp:extent cx="699516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Description of Capital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17145</wp:posOffset>
            </wp:positionV>
            <wp:extent cx="699516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spacing w:after="0" w:line="7" w:lineRule="exact"/>
        <w:rPr>
          <w:sz w:val="20"/>
          <w:szCs w:val="20"/>
          <w:color w:val="auto"/>
        </w:rPr>
      </w:pPr>
    </w:p>
    <w:p>
      <w:pPr>
        <w:ind w:right="680"/>
        <w:spacing w:after="0" w:line="234"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10" w:lineRule="exact"/>
        <w:rPr>
          <w:sz w:val="20"/>
          <w:szCs w:val="20"/>
          <w:color w:val="auto"/>
        </w:rPr>
      </w:pPr>
    </w:p>
    <w:p>
      <w:pPr>
        <w:ind w:right="7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u w:val="single" w:color="auto"/>
          <w:color w:val="0000FF"/>
        </w:rPr>
        <w:t>Certification of Chief Executive Officer and Chief Financial Officer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-240665</wp:posOffset>
            </wp:positionV>
            <wp:extent cx="699516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14605</wp:posOffset>
            </wp:positionV>
            <wp:extent cx="699516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3"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0"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-255905</wp:posOffset>
            </wp:positionV>
            <wp:extent cx="699516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ind w:right="240"/>
        <w:spacing w:after="0" w:line="237" w:lineRule="auto"/>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0"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-255905</wp:posOffset>
            </wp:positionV>
            <wp:extent cx="699516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right="80"/>
        <w:spacing w:after="0" w:line="237" w:lineRule="auto"/>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December 17,</w:t>
            </w:r>
          </w:p>
        </w:tc>
      </w:tr>
      <w:tr>
        <w:trPr>
          <w:trHeight w:val="243"/>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r>
      <w:tr>
        <w:trPr>
          <w:trHeight w:val="418"/>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2010</w:t>
            </w:r>
          </w:p>
        </w:tc>
      </w:tr>
      <w:tr>
        <w:trPr>
          <w:trHeight w:val="414"/>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r>
      <w:tr>
        <w:trPr>
          <w:trHeight w:val="180"/>
        </w:trPr>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November 24,</w:t>
            </w:r>
          </w:p>
        </w:tc>
      </w:tr>
      <w:tr>
        <w:trPr>
          <w:trHeight w:val="243"/>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414"/>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18, 2026</w:t>
            </w:r>
          </w:p>
        </w:tc>
      </w:tr>
      <w:tr>
        <w:trPr>
          <w:trHeight w:val="234"/>
        </w:trPr>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2020</w:t>
            </w:r>
          </w:p>
        </w:tc>
      </w:tr>
    </w:tbl>
    <w:p>
      <w:pPr>
        <w:spacing w:after="0" w:line="4167" w:lineRule="exact"/>
        <w:rPr>
          <w:sz w:val="20"/>
          <w:szCs w:val="20"/>
          <w:color w:val="auto"/>
        </w:rPr>
      </w:pPr>
    </w:p>
    <w:p>
      <w:pPr>
        <w:sectPr>
          <w:pgSz w:w="11900" w:h="16838" w:orient="portrait"/>
          <w:cols w:equalWidth="0" w:num="3">
            <w:col w:w="1120" w:space="400"/>
            <w:col w:w="4400" w:space="220"/>
            <w:col w:w="5000"/>
          </w:cols>
          <w:pgMar w:left="320" w:top="117" w:right="4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13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20"/>
          </w:cols>
          <w:pgMar w:left="320" w:top="117" w:right="10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2026,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5, 2026</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8"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52" Type="http://schemas.openxmlformats.org/officeDocument/2006/relationships/hyperlink" Target="https://www.sec.gov/Archives/edgar/data/887359/000129993309004957/exhibit1.htm" TargetMode="External"/><Relationship Id="rId53" Type="http://schemas.openxmlformats.org/officeDocument/2006/relationships/hyperlink" Target="https://www.sec.gov/Archives/edgar/data/887359/000095012310030777/b80276exv3w2.htm" TargetMode="External"/><Relationship Id="rId54" Type="http://schemas.openxmlformats.org/officeDocument/2006/relationships/hyperlink" Target="https://www.sec.gov/Archives/edgar/data/887359/000095012311029237/a59068exv3w1.htm" TargetMode="External"/><Relationship Id="rId56" Type="http://schemas.openxmlformats.org/officeDocument/2006/relationships/hyperlink" Target="https://www.sec.gov/Archives/edgar/data/887359/000110465914083052/a14-25082_1ex3d1.htm" TargetMode="External"/><Relationship Id="rId57" Type="http://schemas.openxmlformats.org/officeDocument/2006/relationships/hyperlink" Target="https://www.sec.gov/Archives/edgar/data/887359/000114036126021892/ef20073865_ex3-1.htm" TargetMode="External"/><Relationship Id="rId59"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2026-11-05T07:59:14Z</dcterms:created>
  <dcterms:modified xsi:type="dcterms:W3CDTF">2026-11-05T07:59:14Z</dcterms:modified>
</cp:coreProperties>
</file>